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E3A99">
            <w:rPr>
              <w:rStyle w:val="Style1"/>
            </w:rPr>
            <w:t>#2653 New Measure</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E3A99">
            <w:rPr>
              <w:rStyle w:val="Style1"/>
            </w:rPr>
            <w:t>Average change in functional status following total knee replacement</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10-31T00:00:00Z">
            <w:dateFormat w:val="M/d/yyyy"/>
            <w:lid w:val="en-US"/>
            <w:storeMappedDataAs w:val="dateTime"/>
            <w:calendar w:val="gregorian"/>
          </w:date>
        </w:sdtPr>
        <w:sdtEndPr>
          <w:rPr>
            <w:rStyle w:val="DefaultParagraphFont"/>
            <w:noProof/>
            <w:color w:val="auto"/>
            <w:u w:val="none"/>
          </w:rPr>
        </w:sdtEndPr>
        <w:sdtContent>
          <w:r w:rsidR="009E3A99">
            <w:rPr>
              <w:rStyle w:val="Style2"/>
            </w:rPr>
            <w:t>10/31/2014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DE023D"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DE023D" w:rsidP="005857F8">
      <w:pPr>
        <w:ind w:left="720" w:hanging="432"/>
        <w:rPr>
          <w:b/>
          <w:bCs/>
        </w:rPr>
      </w:pPr>
      <w:sdt>
        <w:sdtPr>
          <w:rPr>
            <w:bCs/>
            <w:color w:val="0000FF"/>
          </w:rPr>
          <w:id w:val="-1541041819"/>
          <w14:checkbox>
            <w14:checked w14:val="1"/>
            <w14:checkedState w14:val="2612" w14:font="MS Gothic"/>
            <w14:uncheckedState w14:val="2610" w14:font="MS Gothic"/>
          </w14:checkbox>
        </w:sdtPr>
        <w:sdtEndPr/>
        <w:sdtContent>
          <w:r w:rsidR="009E3A99">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dtPr>
        <w:sdtEndPr>
          <w:rPr>
            <w:rStyle w:val="DefaultParagraphFont"/>
            <w:rFonts w:cstheme="minorBidi"/>
            <w:color w:val="auto"/>
            <w:u w:val="none"/>
          </w:rPr>
        </w:sdtEndPr>
        <w:sdtContent>
          <w:r w:rsidR="009E3A99">
            <w:rPr>
              <w:rStyle w:val="Style2"/>
              <w:rFonts w:cstheme="minorHAnsi"/>
            </w:rPr>
            <w:t>Oxford Knee Score</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DE023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DE023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DE023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DE023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9E3A99" w:rsidRDefault="009E3A99" w:rsidP="002B06BD">
      <w:pPr>
        <w:ind w:left="432" w:hanging="432"/>
        <w:rPr>
          <w:b/>
          <w:iCs/>
        </w:rPr>
      </w:pPr>
    </w:p>
    <w:p w:rsidR="009E3A99" w:rsidRPr="003B1CC5" w:rsidRDefault="009E3A99" w:rsidP="002B06BD">
      <w:pPr>
        <w:ind w:left="432" w:hanging="432"/>
        <w:rPr>
          <w:iCs/>
        </w:rPr>
      </w:pPr>
      <w:r>
        <w:rPr>
          <w:noProof/>
          <w:color w:val="0000FF"/>
        </w:rPr>
        <w:drawing>
          <wp:inline distT="0" distB="0" distL="0" distR="0" wp14:anchorId="6962970E" wp14:editId="0649E887">
            <wp:extent cx="5943600" cy="1722755"/>
            <wp:effectExtent l="0" t="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2B06BD" w:rsidRPr="003B1CC5" w:rsidRDefault="002B06BD" w:rsidP="002E2177">
      <w:pPr>
        <w:ind w:left="432" w:hanging="432"/>
        <w:rPr>
          <w:color w:val="0000FF"/>
        </w:rPr>
      </w:pPr>
    </w:p>
    <w:p w:rsidR="00D14F0B" w:rsidRPr="0039303C" w:rsidRDefault="00B058A6" w:rsidP="0039303C">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B058BF" w:rsidRDefault="00B058BF" w:rsidP="0019340B">
      <w:pPr>
        <w:spacing w:before="120"/>
        <w:ind w:left="0" w:firstLine="0"/>
        <w:rPr>
          <w:rFonts w:ascii="Calibri" w:hAnsi="Calibri"/>
        </w:rPr>
      </w:pPr>
      <w:r>
        <w:rPr>
          <w:rFonts w:ascii="Calibri" w:hAnsi="Calibri"/>
        </w:rPr>
        <w:t>Annually there are</w:t>
      </w:r>
      <w:r w:rsidRPr="00EC0AA3">
        <w:rPr>
          <w:rFonts w:ascii="Calibri" w:hAnsi="Calibri"/>
        </w:rPr>
        <w:t xml:space="preserve"> over </w:t>
      </w:r>
      <w:r>
        <w:rPr>
          <w:rFonts w:ascii="Calibri" w:hAnsi="Calibri"/>
        </w:rPr>
        <w:t>500,0</w:t>
      </w:r>
      <w:r w:rsidRPr="00EC0AA3">
        <w:rPr>
          <w:rFonts w:ascii="Calibri" w:hAnsi="Calibri"/>
        </w:rPr>
        <w:t>00 total knee replacement (TKR) procedu</w:t>
      </w:r>
      <w:r w:rsidR="0019340B">
        <w:rPr>
          <w:rFonts w:ascii="Calibri" w:hAnsi="Calibri"/>
        </w:rPr>
        <w:t xml:space="preserve">res performed in the US.  It is </w:t>
      </w:r>
      <w:r w:rsidRPr="00EC0AA3">
        <w:rPr>
          <w:rFonts w:ascii="Calibri" w:hAnsi="Calibri"/>
        </w:rPr>
        <w:t>projected that by 2030 the volume of this procedure will increase to over 3.48 million per year due to the aging baby-boomers</w:t>
      </w:r>
      <w:r>
        <w:rPr>
          <w:rFonts w:ascii="Calibri" w:hAnsi="Calibri"/>
        </w:rPr>
        <w:t>, increased obesity</w:t>
      </w:r>
      <w:r w:rsidRPr="00EC0AA3">
        <w:rPr>
          <w:rFonts w:ascii="Calibri" w:hAnsi="Calibri"/>
        </w:rPr>
        <w:t xml:space="preserve"> and indications for TKR that extend to both younger as well as older patients.</w:t>
      </w:r>
      <w:r w:rsidR="00F863EE">
        <w:rPr>
          <w:rStyle w:val="FootnoteReference"/>
          <w:rFonts w:ascii="Calibri" w:hAnsi="Calibri"/>
        </w:rPr>
        <w:footnoteReference w:id="1"/>
      </w:r>
      <w:r w:rsidR="00DE2B2B">
        <w:rPr>
          <w:rFonts w:ascii="Calibri" w:hAnsi="Calibri"/>
        </w:rPr>
        <w:t xml:space="preserve"> </w:t>
      </w:r>
      <w:r w:rsidRPr="00EC0AA3">
        <w:rPr>
          <w:rFonts w:ascii="Calibri" w:hAnsi="Calibri"/>
        </w:rPr>
        <w:t xml:space="preserve"> From 2000 to 2006, the Medicare TKR rate overall in the United States increased 58%, from 5.5 to 8.7 per 1000</w:t>
      </w:r>
      <w:r w:rsidR="000C19C0">
        <w:rPr>
          <w:rStyle w:val="FootnoteReference"/>
          <w:rFonts w:ascii="Calibri" w:hAnsi="Calibri"/>
        </w:rPr>
        <w:footnoteReference w:id="2"/>
      </w:r>
      <w:r w:rsidR="00DE2B2B">
        <w:rPr>
          <w:rFonts w:ascii="Calibri" w:hAnsi="Calibri"/>
        </w:rPr>
        <w:t xml:space="preserve"> </w:t>
      </w:r>
      <w:r w:rsidRPr="00EC0AA3">
        <w:rPr>
          <w:rFonts w:ascii="Calibri" w:hAnsi="Calibri"/>
        </w:rPr>
        <w:t>and TKR revisions currently represent 8.2% of all Medicare dollars spent.</w:t>
      </w:r>
      <w:r w:rsidR="000C19C0">
        <w:rPr>
          <w:rStyle w:val="FootnoteReference"/>
          <w:rFonts w:ascii="Calibri" w:hAnsi="Calibri"/>
        </w:rPr>
        <w:footnoteReference w:id="3"/>
      </w:r>
      <w:r w:rsidR="00DE2B2B">
        <w:rPr>
          <w:rFonts w:ascii="Calibri" w:hAnsi="Calibri"/>
        </w:rPr>
        <w:t xml:space="preserve"> </w:t>
      </w:r>
      <w:r w:rsidRPr="00EC0AA3">
        <w:rPr>
          <w:rFonts w:ascii="Calibri" w:hAnsi="Calibri"/>
        </w:rPr>
        <w:t xml:space="preserve"> It is estimated that annual hospital charges for TKR will approach 40.8 billion dollars annually by 2015.</w:t>
      </w:r>
      <w:r w:rsidR="000C19C0">
        <w:rPr>
          <w:rStyle w:val="FootnoteReference"/>
          <w:rFonts w:ascii="Calibri" w:hAnsi="Calibri"/>
        </w:rPr>
        <w:footnoteReference w:id="4"/>
      </w:r>
    </w:p>
    <w:p w:rsidR="00B058BF" w:rsidRPr="00EC0AA3" w:rsidRDefault="00B058BF" w:rsidP="0019340B">
      <w:pPr>
        <w:spacing w:before="120"/>
        <w:ind w:left="0" w:firstLine="0"/>
        <w:rPr>
          <w:rFonts w:ascii="Calibri" w:hAnsi="Calibri"/>
        </w:rPr>
      </w:pPr>
      <w:r>
        <w:rPr>
          <w:rFonts w:ascii="Calibri" w:hAnsi="Calibri"/>
        </w:rPr>
        <w:t>For the Minnesota Medicare population in 2006, 9,856 patients underwent a primary hip or knee replacement procedure (DRG 544) and 1,174 patients had a hip or knee revision (DRG 545).  Nationally, for DRG 544 the average charge per hospitalization was $38,447 with an average payment of $11,916.</w:t>
      </w:r>
      <w:r w:rsidR="000C19C0">
        <w:rPr>
          <w:rStyle w:val="FootnoteReference"/>
          <w:rFonts w:ascii="Calibri" w:hAnsi="Calibri"/>
        </w:rPr>
        <w:footnoteReference w:id="5"/>
      </w:r>
    </w:p>
    <w:p w:rsidR="00B058BF" w:rsidRDefault="0039303C" w:rsidP="0039303C">
      <w:pPr>
        <w:spacing w:before="120"/>
        <w:ind w:left="0" w:firstLine="0"/>
        <w:rPr>
          <w:iCs/>
        </w:rPr>
      </w:pPr>
      <w:r>
        <w:rPr>
          <w:iCs/>
        </w:rPr>
        <w:t>As Dartmouth Atlas data demonstrate there are significant differences in utilization</w:t>
      </w:r>
      <w:r w:rsidR="00F23132">
        <w:rPr>
          <w:iCs/>
        </w:rPr>
        <w:t xml:space="preserve"> of total knee replacement procedures</w:t>
      </w:r>
      <w:r>
        <w:rPr>
          <w:iCs/>
        </w:rPr>
        <w:t xml:space="preserve"> for MN as compared to the national rates of utilization for Medicare enrollees</w:t>
      </w:r>
      <w:r w:rsidR="00F23132">
        <w:rPr>
          <w:iCs/>
        </w:rPr>
        <w:t>.  With the anticipated explosion in the number of procedures pr</w:t>
      </w:r>
      <w:r w:rsidR="00DE023D">
        <w:rPr>
          <w:iCs/>
        </w:rPr>
        <w:t xml:space="preserve">ojected, associated total costs, lack of </w:t>
      </w:r>
      <w:r w:rsidR="00DE023D">
        <w:rPr>
          <w:iCs/>
        </w:rPr>
        <w:lastRenderedPageBreak/>
        <w:t>clinical guidelines/ appropriateness criteria; MNCM’s Measurement and Reporting Committee (MARC) and MNCM Board approved measure development focused on outcomes of functional status and quality of life following total knee replacement procedures to fill a gap in the current measure portfolio.</w:t>
      </w:r>
    </w:p>
    <w:p w:rsidR="0039303C" w:rsidRDefault="0039303C" w:rsidP="002E2177">
      <w:pPr>
        <w:ind w:left="0" w:firstLine="0"/>
        <w:rPr>
          <w:iCs/>
        </w:rPr>
      </w:pPr>
      <w:bookmarkStart w:id="5" w:name="_GoBack"/>
      <w:bookmarkEnd w:id="5"/>
    </w:p>
    <w:p w:rsidR="00F863EE" w:rsidRDefault="00F863EE" w:rsidP="002E2177">
      <w:pPr>
        <w:ind w:left="0" w:firstLine="0"/>
        <w:rPr>
          <w:iCs/>
        </w:rPr>
      </w:pPr>
      <w:r>
        <w:rPr>
          <w:iCs/>
          <w:noProof/>
        </w:rPr>
        <w:drawing>
          <wp:inline distT="0" distB="0" distL="0" distR="0" wp14:anchorId="23930718">
            <wp:extent cx="4485640" cy="3809365"/>
            <wp:effectExtent l="19050" t="19050" r="10160" b="196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5640" cy="3809365"/>
                    </a:xfrm>
                    <a:prstGeom prst="rect">
                      <a:avLst/>
                    </a:prstGeom>
                    <a:noFill/>
                    <a:ln>
                      <a:solidFill>
                        <a:schemeClr val="tx1"/>
                      </a:solidFill>
                    </a:ln>
                  </pic:spPr>
                </pic:pic>
              </a:graphicData>
            </a:graphic>
          </wp:inline>
        </w:drawing>
      </w:r>
    </w:p>
    <w:p w:rsidR="00F863EE" w:rsidRDefault="000C19C0" w:rsidP="002E2177">
      <w:pPr>
        <w:ind w:left="0" w:firstLine="0"/>
        <w:rPr>
          <w:iCs/>
        </w:rPr>
      </w:pPr>
      <w:r>
        <w:rPr>
          <w:iCs/>
        </w:rPr>
        <w:t xml:space="preserve">Dartmouth Atlas 2010 Total Knee Replacement Procedures by Hospital Referral Region </w:t>
      </w:r>
    </w:p>
    <w:p w:rsidR="00B058BF" w:rsidRDefault="00B058BF" w:rsidP="002E2177">
      <w:pPr>
        <w:ind w:left="0" w:firstLine="0"/>
        <w:rPr>
          <w:iCs/>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176"/>
        <w:gridCol w:w="1176"/>
      </w:tblGrid>
      <w:tr w:rsidR="000C19C0" w:rsidRPr="00F863EE" w:rsidTr="000C19C0">
        <w:tc>
          <w:tcPr>
            <w:tcW w:w="3113" w:type="dxa"/>
            <w:shd w:val="clear" w:color="auto" w:fill="000000"/>
          </w:tcPr>
          <w:p w:rsidR="000C19C0" w:rsidRPr="00F863EE" w:rsidRDefault="000C19C0" w:rsidP="000C19C0">
            <w:pPr>
              <w:ind w:left="0" w:firstLine="0"/>
              <w:rPr>
                <w:rFonts w:ascii="Calibri" w:eastAsia="Times New Roman" w:hAnsi="Calibri" w:cs="Times New Roman"/>
                <w:b/>
                <w:color w:val="FFFFFF"/>
              </w:rPr>
            </w:pPr>
            <w:r w:rsidRPr="00F863EE">
              <w:rPr>
                <w:rFonts w:ascii="Calibri" w:eastAsia="Times New Roman" w:hAnsi="Calibri" w:cs="Times New Roman"/>
                <w:b/>
                <w:color w:val="FFFFFF"/>
              </w:rPr>
              <w:t>Minnesota  Medicare Statistics</w:t>
            </w:r>
            <w:r>
              <w:rPr>
                <w:rStyle w:val="FootnoteReference"/>
                <w:rFonts w:ascii="Calibri" w:eastAsia="Times New Roman" w:hAnsi="Calibri" w:cs="Times New Roman"/>
                <w:b/>
                <w:color w:val="FFFFFF"/>
              </w:rPr>
              <w:footnoteReference w:id="6"/>
            </w:r>
          </w:p>
        </w:tc>
        <w:tc>
          <w:tcPr>
            <w:tcW w:w="0" w:type="auto"/>
            <w:gridSpan w:val="2"/>
            <w:shd w:val="clear" w:color="auto" w:fill="000000"/>
          </w:tcPr>
          <w:p w:rsidR="000C19C0" w:rsidRPr="00F863EE" w:rsidRDefault="000C19C0" w:rsidP="000C19C0">
            <w:pPr>
              <w:ind w:left="0" w:firstLine="0"/>
              <w:jc w:val="right"/>
              <w:rPr>
                <w:rFonts w:ascii="Calibri" w:eastAsia="Times New Roman" w:hAnsi="Calibri" w:cs="Times New Roman"/>
                <w:b/>
                <w:color w:val="FFFFFF"/>
              </w:rPr>
            </w:pPr>
          </w:p>
        </w:tc>
      </w:tr>
      <w:tr w:rsidR="000C19C0" w:rsidRPr="00F863EE" w:rsidTr="000C19C0">
        <w:tc>
          <w:tcPr>
            <w:tcW w:w="3113" w:type="dxa"/>
            <w:shd w:val="clear" w:color="auto" w:fill="000000"/>
          </w:tcPr>
          <w:p w:rsidR="000C19C0" w:rsidRPr="00F863EE" w:rsidRDefault="000C19C0" w:rsidP="000C19C0">
            <w:pPr>
              <w:ind w:left="0" w:firstLine="0"/>
              <w:jc w:val="right"/>
              <w:rPr>
                <w:rFonts w:ascii="Calibri" w:eastAsia="Times New Roman" w:hAnsi="Calibri" w:cs="Times New Roman"/>
              </w:rPr>
            </w:pPr>
            <w:r w:rsidRPr="00F863EE">
              <w:rPr>
                <w:rFonts w:ascii="Calibri" w:eastAsia="Times New Roman" w:hAnsi="Calibri" w:cs="Times New Roman"/>
                <w:b/>
                <w:color w:val="FFFFFF"/>
              </w:rPr>
              <w:t>Rates per 1000 Enrollees</w:t>
            </w:r>
          </w:p>
        </w:tc>
        <w:tc>
          <w:tcPr>
            <w:tcW w:w="0" w:type="auto"/>
            <w:shd w:val="clear" w:color="auto" w:fill="000000"/>
          </w:tcPr>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b/>
                <w:color w:val="FFFFFF"/>
              </w:rPr>
              <w:t>2000-2001</w:t>
            </w:r>
          </w:p>
        </w:tc>
        <w:tc>
          <w:tcPr>
            <w:tcW w:w="0" w:type="auto"/>
            <w:shd w:val="clear" w:color="auto" w:fill="000000"/>
          </w:tcPr>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b/>
                <w:color w:val="FFFFFF"/>
              </w:rPr>
              <w:t>2005-2006</w:t>
            </w:r>
          </w:p>
        </w:tc>
      </w:tr>
      <w:tr w:rsidR="000C19C0" w:rsidRPr="00F863EE" w:rsidTr="000C19C0">
        <w:tc>
          <w:tcPr>
            <w:tcW w:w="5465" w:type="dxa"/>
            <w:gridSpan w:val="3"/>
            <w:shd w:val="clear" w:color="auto" w:fill="auto"/>
          </w:tcPr>
          <w:p w:rsidR="000C19C0" w:rsidRPr="00F863EE" w:rsidRDefault="000C19C0" w:rsidP="000C19C0">
            <w:pPr>
              <w:ind w:left="0" w:firstLine="0"/>
              <w:rPr>
                <w:rFonts w:ascii="Calibri" w:eastAsia="Times New Roman" w:hAnsi="Calibri" w:cs="Times New Roman"/>
              </w:rPr>
            </w:pPr>
            <w:r w:rsidRPr="00F863EE">
              <w:rPr>
                <w:rFonts w:ascii="Calibri" w:eastAsia="Times New Roman" w:hAnsi="Calibri" w:cs="Times New Roman"/>
                <w:b/>
              </w:rPr>
              <w:t xml:space="preserve">Total Knee Replacement        </w:t>
            </w:r>
          </w:p>
        </w:tc>
      </w:tr>
      <w:tr w:rsidR="000C19C0" w:rsidRPr="00F863EE" w:rsidTr="000C19C0">
        <w:tc>
          <w:tcPr>
            <w:tcW w:w="3113" w:type="dxa"/>
            <w:shd w:val="clear" w:color="auto" w:fill="auto"/>
          </w:tcPr>
          <w:p w:rsidR="000C19C0" w:rsidRPr="00F863EE" w:rsidRDefault="000C19C0" w:rsidP="000C19C0">
            <w:pPr>
              <w:ind w:left="0" w:firstLine="0"/>
              <w:rPr>
                <w:rFonts w:ascii="Calibri" w:eastAsia="Times New Roman" w:hAnsi="Calibri" w:cs="Times New Roman"/>
                <w:b/>
              </w:rPr>
            </w:pPr>
            <w:r w:rsidRPr="00F863EE">
              <w:rPr>
                <w:rFonts w:ascii="Calibri" w:eastAsia="Times New Roman" w:hAnsi="Calibri" w:cs="Times New Roman"/>
                <w:b/>
              </w:rPr>
              <w:t>United States</w:t>
            </w:r>
          </w:p>
        </w:tc>
        <w:tc>
          <w:tcPr>
            <w:tcW w:w="0" w:type="auto"/>
            <w:shd w:val="clear" w:color="auto" w:fill="auto"/>
          </w:tcPr>
          <w:p w:rsidR="000C19C0" w:rsidRPr="00F863EE" w:rsidRDefault="000C19C0" w:rsidP="000C19C0">
            <w:pPr>
              <w:ind w:left="0" w:firstLine="0"/>
              <w:jc w:val="center"/>
              <w:rPr>
                <w:rFonts w:ascii="Calibri" w:eastAsia="Times New Roman" w:hAnsi="Calibri" w:cs="Times New Roman"/>
                <w:b/>
              </w:rPr>
            </w:pPr>
            <w:r w:rsidRPr="00F863EE">
              <w:rPr>
                <w:rFonts w:ascii="Calibri" w:eastAsia="Times New Roman" w:hAnsi="Calibri" w:cs="Times New Roman"/>
                <w:b/>
              </w:rPr>
              <w:t>6.0</w:t>
            </w:r>
          </w:p>
        </w:tc>
        <w:tc>
          <w:tcPr>
            <w:tcW w:w="0" w:type="auto"/>
            <w:shd w:val="clear" w:color="auto" w:fill="auto"/>
          </w:tcPr>
          <w:p w:rsidR="000C19C0" w:rsidRPr="00F863EE" w:rsidRDefault="000C19C0" w:rsidP="000C19C0">
            <w:pPr>
              <w:ind w:left="0" w:firstLine="0"/>
              <w:jc w:val="center"/>
              <w:rPr>
                <w:rFonts w:ascii="Calibri" w:eastAsia="Times New Roman" w:hAnsi="Calibri" w:cs="Times New Roman"/>
                <w:b/>
              </w:rPr>
            </w:pPr>
            <w:r w:rsidRPr="00F863EE">
              <w:rPr>
                <w:rFonts w:ascii="Calibri" w:eastAsia="Times New Roman" w:hAnsi="Calibri" w:cs="Times New Roman"/>
                <w:b/>
              </w:rPr>
              <w:t>8.8</w:t>
            </w:r>
          </w:p>
        </w:tc>
      </w:tr>
      <w:tr w:rsidR="000C19C0" w:rsidRPr="00F863EE" w:rsidTr="000C19C0">
        <w:tc>
          <w:tcPr>
            <w:tcW w:w="3113" w:type="dxa"/>
            <w:shd w:val="clear" w:color="auto" w:fill="auto"/>
          </w:tcPr>
          <w:p w:rsidR="000C19C0" w:rsidRPr="00F863EE" w:rsidRDefault="000C19C0" w:rsidP="000C19C0">
            <w:pPr>
              <w:ind w:left="0" w:firstLine="0"/>
              <w:jc w:val="right"/>
              <w:rPr>
                <w:rFonts w:ascii="Calibri" w:eastAsia="Times New Roman" w:hAnsi="Calibri" w:cs="Times New Roman"/>
              </w:rPr>
            </w:pPr>
            <w:r w:rsidRPr="00F863EE">
              <w:rPr>
                <w:rFonts w:ascii="Calibri" w:eastAsia="Times New Roman" w:hAnsi="Calibri" w:cs="Times New Roman"/>
              </w:rPr>
              <w:t>Duluth</w:t>
            </w:r>
          </w:p>
          <w:p w:rsidR="000C19C0" w:rsidRPr="00F863EE" w:rsidRDefault="000C19C0" w:rsidP="000C19C0">
            <w:pPr>
              <w:ind w:left="0" w:firstLine="0"/>
              <w:jc w:val="right"/>
              <w:rPr>
                <w:rFonts w:ascii="Calibri" w:eastAsia="Times New Roman" w:hAnsi="Calibri" w:cs="Times New Roman"/>
              </w:rPr>
            </w:pPr>
            <w:r w:rsidRPr="00F863EE">
              <w:rPr>
                <w:rFonts w:ascii="Calibri" w:eastAsia="Times New Roman" w:hAnsi="Calibri" w:cs="Times New Roman"/>
              </w:rPr>
              <w:t>Minneapolis</w:t>
            </w:r>
          </w:p>
          <w:p w:rsidR="000C19C0" w:rsidRPr="00F863EE" w:rsidRDefault="000C19C0" w:rsidP="000C19C0">
            <w:pPr>
              <w:ind w:left="0" w:firstLine="0"/>
              <w:jc w:val="right"/>
              <w:rPr>
                <w:rFonts w:ascii="Calibri" w:eastAsia="Times New Roman" w:hAnsi="Calibri" w:cs="Times New Roman"/>
              </w:rPr>
            </w:pPr>
            <w:r w:rsidRPr="00F863EE">
              <w:rPr>
                <w:rFonts w:ascii="Calibri" w:eastAsia="Times New Roman" w:hAnsi="Calibri" w:cs="Times New Roman"/>
              </w:rPr>
              <w:t>Rochester</w:t>
            </w:r>
          </w:p>
          <w:p w:rsidR="000C19C0" w:rsidRPr="00F863EE" w:rsidRDefault="000C19C0" w:rsidP="000C19C0">
            <w:pPr>
              <w:ind w:left="0" w:firstLine="0"/>
              <w:jc w:val="right"/>
              <w:rPr>
                <w:rFonts w:ascii="Calibri" w:eastAsia="Times New Roman" w:hAnsi="Calibri" w:cs="Times New Roman"/>
              </w:rPr>
            </w:pPr>
            <w:r w:rsidRPr="00F863EE">
              <w:rPr>
                <w:rFonts w:ascii="Calibri" w:eastAsia="Times New Roman" w:hAnsi="Calibri" w:cs="Times New Roman"/>
              </w:rPr>
              <w:t xml:space="preserve">St. Cloud </w:t>
            </w:r>
          </w:p>
          <w:p w:rsidR="000C19C0" w:rsidRPr="00F863EE" w:rsidRDefault="000C19C0" w:rsidP="000C19C0">
            <w:pPr>
              <w:ind w:left="0" w:firstLine="0"/>
              <w:jc w:val="right"/>
              <w:rPr>
                <w:rFonts w:ascii="Calibri" w:eastAsia="Times New Roman" w:hAnsi="Calibri" w:cs="Times New Roman"/>
              </w:rPr>
            </w:pPr>
            <w:r w:rsidRPr="00F863EE">
              <w:rPr>
                <w:rFonts w:ascii="Calibri" w:eastAsia="Times New Roman" w:hAnsi="Calibri" w:cs="Times New Roman"/>
              </w:rPr>
              <w:t>St. Paul</w:t>
            </w:r>
          </w:p>
        </w:tc>
        <w:tc>
          <w:tcPr>
            <w:tcW w:w="0" w:type="auto"/>
            <w:shd w:val="clear" w:color="auto" w:fill="auto"/>
          </w:tcPr>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7.8</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7.7</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7.2</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8.6</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7.9</w:t>
            </w:r>
          </w:p>
        </w:tc>
        <w:tc>
          <w:tcPr>
            <w:tcW w:w="0" w:type="auto"/>
            <w:shd w:val="clear" w:color="auto" w:fill="auto"/>
          </w:tcPr>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10.8</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11.7</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11.5</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12.3</w:t>
            </w:r>
          </w:p>
          <w:p w:rsidR="000C19C0" w:rsidRPr="00F863EE" w:rsidRDefault="000C19C0" w:rsidP="000C19C0">
            <w:pPr>
              <w:ind w:left="0" w:firstLine="0"/>
              <w:jc w:val="center"/>
              <w:rPr>
                <w:rFonts w:ascii="Calibri" w:eastAsia="Times New Roman" w:hAnsi="Calibri" w:cs="Times New Roman"/>
              </w:rPr>
            </w:pPr>
            <w:r w:rsidRPr="00F863EE">
              <w:rPr>
                <w:rFonts w:ascii="Calibri" w:eastAsia="Times New Roman" w:hAnsi="Calibri" w:cs="Times New Roman"/>
              </w:rPr>
              <w:t>12.9</w:t>
            </w:r>
          </w:p>
        </w:tc>
      </w:tr>
    </w:tbl>
    <w:p w:rsidR="00F863EE" w:rsidRDefault="00F863EE" w:rsidP="002E2177">
      <w:pPr>
        <w:ind w:left="0" w:firstLine="0"/>
        <w:rPr>
          <w:iCs/>
        </w:rPr>
      </w:pPr>
    </w:p>
    <w:p w:rsidR="00F863EE" w:rsidRPr="003B1CC5" w:rsidRDefault="00F863EE" w:rsidP="002E2177">
      <w:pPr>
        <w:ind w:left="0" w:firstLine="0"/>
        <w:rPr>
          <w:iCs/>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F863EE" w:rsidRDefault="00F863EE" w:rsidP="002E2177">
      <w:pPr>
        <w:ind w:left="0" w:firstLine="0"/>
        <w:rPr>
          <w:i/>
          <w:iCs/>
          <w:highlight w:val="green"/>
          <w:u w:val="single"/>
        </w:rPr>
      </w:pPr>
    </w:p>
    <w:p w:rsidR="00496AF8" w:rsidRPr="003B1CC5" w:rsidRDefault="00496AF8" w:rsidP="002E2177">
      <w:pPr>
        <w:ind w:left="0" w:firstLine="0"/>
        <w:rPr>
          <w:i/>
          <w:iCs/>
        </w:rPr>
      </w:pPr>
      <w:r w:rsidRPr="003B1CC5">
        <w:rPr>
          <w:i/>
          <w:iCs/>
          <w:highlight w:val="green"/>
          <w:u w:val="single"/>
        </w:rPr>
        <w:lastRenderedPageBreak/>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DE023D"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DE023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DE023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DE023D"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DE023D"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DE023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lastRenderedPageBreak/>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E023D">
      <w:rPr>
        <w:noProof/>
      </w:rPr>
      <w:t>3</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 w:id="1">
    <w:p w:rsidR="000C19C0" w:rsidRPr="000C19C0" w:rsidRDefault="00F863EE">
      <w:pPr>
        <w:pStyle w:val="FootnoteText"/>
        <w:rPr>
          <w:rFonts w:ascii="Calibri" w:hAnsi="Calibri"/>
          <w:sz w:val="18"/>
          <w:szCs w:val="18"/>
        </w:rPr>
      </w:pPr>
      <w:r>
        <w:rPr>
          <w:rStyle w:val="FootnoteReference"/>
        </w:rPr>
        <w:footnoteRef/>
      </w:r>
      <w:r>
        <w:t xml:space="preserve"> </w:t>
      </w:r>
      <w:r w:rsidR="000C19C0" w:rsidRPr="000C19C0">
        <w:rPr>
          <w:rFonts w:ascii="Calibri" w:eastAsia="Times New Roman" w:hAnsi="Calibri"/>
          <w:sz w:val="18"/>
        </w:rPr>
        <w:t>American Association of Orthopedic Surgeons 2006 Annual Meeting Presentation Future Caseload Kurtz SM</w:t>
      </w:r>
    </w:p>
  </w:footnote>
  <w:footnote w:id="2">
    <w:p w:rsidR="000C19C0" w:rsidRPr="000C19C0" w:rsidRDefault="000C19C0" w:rsidP="000C19C0">
      <w:pPr>
        <w:pStyle w:val="EndnoteText"/>
        <w:rPr>
          <w:rFonts w:ascii="Calibri" w:hAnsi="Calibri"/>
          <w:sz w:val="18"/>
          <w:szCs w:val="18"/>
          <w:vertAlign w:val="superscript"/>
        </w:rPr>
      </w:pPr>
      <w:r>
        <w:rPr>
          <w:rStyle w:val="FootnoteReference"/>
        </w:rPr>
        <w:footnoteRef/>
      </w:r>
      <w:r>
        <w:t xml:space="preserve"> </w:t>
      </w:r>
      <w:r w:rsidRPr="000C19C0">
        <w:rPr>
          <w:rFonts w:ascii="Calibri" w:hAnsi="Calibri"/>
          <w:sz w:val="18"/>
        </w:rPr>
        <w:t>Racial Disparities in Total Knee Replacement Among Medicare Enrollees  2000—2006 MMWR 2/20/2009</w:t>
      </w:r>
    </w:p>
  </w:footnote>
  <w:footnote w:id="3">
    <w:p w:rsidR="000C19C0" w:rsidRPr="000C19C0" w:rsidRDefault="000C19C0" w:rsidP="000C19C0">
      <w:pPr>
        <w:pStyle w:val="EndnoteText"/>
        <w:rPr>
          <w:rFonts w:ascii="Calibri" w:hAnsi="Calibri"/>
          <w:sz w:val="18"/>
          <w:szCs w:val="18"/>
        </w:rPr>
      </w:pPr>
      <w:r>
        <w:rPr>
          <w:rStyle w:val="FootnoteReference"/>
        </w:rPr>
        <w:footnoteRef/>
      </w:r>
      <w:r>
        <w:t xml:space="preserve"> </w:t>
      </w:r>
      <w:r w:rsidRPr="007D60D9">
        <w:rPr>
          <w:rFonts w:ascii="Calibri" w:hAnsi="Calibri"/>
          <w:sz w:val="18"/>
          <w:szCs w:val="18"/>
        </w:rPr>
        <w:t xml:space="preserve">Economic Burden of Total Hip and Knee </w:t>
      </w:r>
      <w:proofErr w:type="spellStart"/>
      <w:r w:rsidRPr="007D60D9">
        <w:rPr>
          <w:rFonts w:ascii="Calibri" w:hAnsi="Calibri"/>
          <w:sz w:val="18"/>
          <w:szCs w:val="18"/>
        </w:rPr>
        <w:t>Arthroplasty</w:t>
      </w:r>
      <w:proofErr w:type="spellEnd"/>
      <w:r w:rsidRPr="007D60D9">
        <w:rPr>
          <w:rFonts w:ascii="Calibri" w:hAnsi="Calibri"/>
          <w:sz w:val="18"/>
          <w:szCs w:val="18"/>
        </w:rPr>
        <w:t xml:space="preserve"> in Medicare Enrollees Ong et al 2006</w:t>
      </w:r>
    </w:p>
  </w:footnote>
  <w:footnote w:id="4">
    <w:p w:rsidR="000C19C0" w:rsidRDefault="000C19C0">
      <w:pPr>
        <w:pStyle w:val="FootnoteText"/>
      </w:pPr>
      <w:r>
        <w:rPr>
          <w:rStyle w:val="FootnoteReference"/>
        </w:rPr>
        <w:footnoteRef/>
      </w:r>
      <w:r>
        <w:t xml:space="preserve"> </w:t>
      </w:r>
      <w:r w:rsidRPr="007D60D9">
        <w:rPr>
          <w:rFonts w:ascii="Calibri" w:hAnsi="Calibri"/>
          <w:sz w:val="18"/>
          <w:szCs w:val="18"/>
        </w:rPr>
        <w:t>Kaiser</w:t>
      </w:r>
      <w:r>
        <w:rPr>
          <w:rFonts w:ascii="Calibri" w:hAnsi="Calibri"/>
          <w:sz w:val="18"/>
          <w:szCs w:val="18"/>
        </w:rPr>
        <w:t>-Permanente Future Clinical &amp; Economic Impact of Revision Total  Hip &amp; Knee Revision Kurtz, Ong JBJS 2007</w:t>
      </w:r>
    </w:p>
  </w:footnote>
  <w:footnote w:id="5">
    <w:p w:rsidR="000C19C0" w:rsidRDefault="000C19C0" w:rsidP="000C19C0">
      <w:pPr>
        <w:pStyle w:val="EndnoteText"/>
      </w:pPr>
      <w:r>
        <w:rPr>
          <w:rStyle w:val="FootnoteReference"/>
        </w:rPr>
        <w:footnoteRef/>
      </w:r>
      <w:r>
        <w:t xml:space="preserve"> </w:t>
      </w:r>
      <w:r w:rsidRPr="000C19C0">
        <w:rPr>
          <w:rFonts w:ascii="Calibri" w:eastAsia="Calibri" w:hAnsi="Calibri"/>
          <w:sz w:val="18"/>
          <w:szCs w:val="18"/>
        </w:rPr>
        <w:t>Inpatient Hospital Payment Information for Value-Driven Health Care Top 31 DRGs Aug 2008  www.cms.gov</w:t>
      </w:r>
    </w:p>
  </w:footnote>
  <w:footnote w:id="6">
    <w:p w:rsidR="000C19C0" w:rsidRPr="000F62B6" w:rsidRDefault="000C19C0" w:rsidP="000C19C0">
      <w:pPr>
        <w:pStyle w:val="EndnoteText"/>
        <w:rPr>
          <w:rFonts w:ascii="Calibri" w:hAnsi="Calibri"/>
        </w:rPr>
      </w:pPr>
      <w:r>
        <w:rPr>
          <w:rStyle w:val="FootnoteReference"/>
        </w:rPr>
        <w:footnoteRef/>
      </w:r>
      <w:r>
        <w:t xml:space="preserve"> </w:t>
      </w:r>
      <w:r w:rsidRPr="000C19C0">
        <w:rPr>
          <w:rFonts w:ascii="Calibri" w:hAnsi="Calibri"/>
          <w:sz w:val="18"/>
        </w:rPr>
        <w:t>Trends and Regional Variation in Hip, Knee and Shoulder Replacement: The Dartmouth Institute for Health Policy and Clinical Practice April 2010</w:t>
      </w:r>
    </w:p>
    <w:p w:rsidR="000C19C0" w:rsidRDefault="000C19C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C19C0"/>
    <w:rsid w:val="000D649E"/>
    <w:rsid w:val="000D6D06"/>
    <w:rsid w:val="00114848"/>
    <w:rsid w:val="00120934"/>
    <w:rsid w:val="00132070"/>
    <w:rsid w:val="00141875"/>
    <w:rsid w:val="0014347E"/>
    <w:rsid w:val="00154438"/>
    <w:rsid w:val="001551F6"/>
    <w:rsid w:val="0015535B"/>
    <w:rsid w:val="00162036"/>
    <w:rsid w:val="001632DD"/>
    <w:rsid w:val="00176E60"/>
    <w:rsid w:val="0019340B"/>
    <w:rsid w:val="00194D9A"/>
    <w:rsid w:val="001A196B"/>
    <w:rsid w:val="001A6D05"/>
    <w:rsid w:val="001B38BF"/>
    <w:rsid w:val="001B772D"/>
    <w:rsid w:val="001D5B5D"/>
    <w:rsid w:val="001E296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303C"/>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3A99"/>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058BF"/>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1D6E"/>
    <w:rsid w:val="00DA7FA2"/>
    <w:rsid w:val="00DC2D8D"/>
    <w:rsid w:val="00DE023D"/>
    <w:rsid w:val="00DE1F5D"/>
    <w:rsid w:val="00DE2B2B"/>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23132"/>
    <w:rsid w:val="00F42C20"/>
    <w:rsid w:val="00F431D8"/>
    <w:rsid w:val="00F67706"/>
    <w:rsid w:val="00F863EE"/>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rsid w:val="00B058BF"/>
    <w:pPr>
      <w:ind w:left="0" w:firstLine="0"/>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B058BF"/>
    <w:rPr>
      <w:rFonts w:ascii="Times New Roman" w:eastAsia="Times New Roman" w:hAnsi="Times New Roman" w:cs="Times New Roman"/>
      <w:sz w:val="20"/>
      <w:szCs w:val="20"/>
    </w:rPr>
  </w:style>
  <w:style w:type="character" w:styleId="EndnoteReference">
    <w:name w:val="endnote reference"/>
    <w:basedOn w:val="DefaultParagraphFont"/>
    <w:rsid w:val="00B058BF"/>
    <w:rPr>
      <w:vertAlign w:val="superscript"/>
    </w:rPr>
  </w:style>
  <w:style w:type="character" w:styleId="FootnoteReference">
    <w:name w:val="footnote reference"/>
    <w:basedOn w:val="DefaultParagraphFont"/>
    <w:uiPriority w:val="99"/>
    <w:semiHidden/>
    <w:unhideWhenUsed/>
    <w:rsid w:val="00F863E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rsid w:val="00B058BF"/>
    <w:pPr>
      <w:ind w:left="0" w:firstLine="0"/>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B058BF"/>
    <w:rPr>
      <w:rFonts w:ascii="Times New Roman" w:eastAsia="Times New Roman" w:hAnsi="Times New Roman" w:cs="Times New Roman"/>
      <w:sz w:val="20"/>
      <w:szCs w:val="20"/>
    </w:rPr>
  </w:style>
  <w:style w:type="character" w:styleId="EndnoteReference">
    <w:name w:val="endnote reference"/>
    <w:basedOn w:val="DefaultParagraphFont"/>
    <w:rsid w:val="00B058BF"/>
    <w:rPr>
      <w:vertAlign w:val="superscript"/>
    </w:rPr>
  </w:style>
  <w:style w:type="character" w:styleId="FootnoteReference">
    <w:name w:val="footnote reference"/>
    <w:basedOn w:val="DefaultParagraphFont"/>
    <w:uiPriority w:val="99"/>
    <w:semiHidden/>
    <w:unhideWhenUsed/>
    <w:rsid w:val="00F863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diagramQuickStyle" Target="diagrams/quickStyle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fontTable" Target="fontTable.xml"/><Relationship Id="rId10" Type="http://schemas.openxmlformats.org/officeDocument/2006/relationships/hyperlink" Target="http://www.uspreventiveservicestaskforce.org/uspstf/grades.htm" TargetMode="External"/><Relationship Id="rId19" Type="http://schemas.microsoft.com/office/2007/relationships/diagramDrawing" Target="diagrams/drawing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16274B-F142-45A7-8EA3-AE99F17C0BB6}"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en-US"/>
        </a:p>
      </dgm:t>
    </dgm:pt>
    <dgm:pt modelId="{1391AA2B-97CE-4F89-90F3-477B92717B14}">
      <dgm:prSet phldrT="[Text]" custT="1"/>
      <dgm:spPr>
        <a:noFill/>
        <a:ln w="12700">
          <a:solidFill>
            <a:schemeClr val="tx1"/>
          </a:solidFill>
        </a:ln>
      </dgm:spPr>
      <dgm:t>
        <a:bodyPr/>
        <a:lstStyle/>
        <a:p>
          <a:pPr>
            <a:lnSpc>
              <a:spcPct val="90000"/>
            </a:lnSpc>
            <a:spcAft>
              <a:spcPct val="35000"/>
            </a:spcAft>
          </a:pPr>
          <a:r>
            <a:rPr lang="en-US" sz="900">
              <a:solidFill>
                <a:sysClr val="windowText" lastClr="000000"/>
              </a:solidFill>
              <a:latin typeface="Calibri" panose="020F0502020204030204" pitchFamily="34" charset="0"/>
            </a:rPr>
            <a:t>Assessment of current impact of knee pain on patient's functional status.  Diagnosis of reasons and providing conservative therapy.</a:t>
          </a:r>
        </a:p>
        <a:p>
          <a:pPr>
            <a:lnSpc>
              <a:spcPct val="100000"/>
            </a:lnSpc>
            <a:spcAft>
              <a:spcPts val="0"/>
            </a:spcAft>
          </a:pPr>
          <a:r>
            <a:rPr lang="en-US" sz="900">
              <a:solidFill>
                <a:sysClr val="windowText" lastClr="000000"/>
              </a:solidFill>
              <a:latin typeface="Calibri" panose="020F0502020204030204" pitchFamily="34" charset="0"/>
            </a:rPr>
            <a:t>Oxford Knee (OKS) </a:t>
          </a:r>
        </a:p>
        <a:p>
          <a:pPr>
            <a:lnSpc>
              <a:spcPct val="100000"/>
            </a:lnSpc>
            <a:spcAft>
              <a:spcPts val="0"/>
            </a:spcAft>
          </a:pPr>
          <a:r>
            <a:rPr lang="en-US" sz="900">
              <a:solidFill>
                <a:sysClr val="windowText" lastClr="000000"/>
              </a:solidFill>
              <a:latin typeface="Calibri" panose="020F0502020204030204" pitchFamily="34" charset="0"/>
            </a:rPr>
            <a:t>PRO Administration</a:t>
          </a:r>
        </a:p>
      </dgm:t>
    </dgm:pt>
    <dgm:pt modelId="{A6EC5C53-BCDD-4FC2-88E9-0E86C5D8BC77}" type="parTrans" cxnId="{B9F3B7ED-D18E-464D-8D83-4D996928B2D5}">
      <dgm:prSet/>
      <dgm:spPr/>
      <dgm:t>
        <a:bodyPr/>
        <a:lstStyle/>
        <a:p>
          <a:endParaRPr lang="en-US"/>
        </a:p>
      </dgm:t>
    </dgm:pt>
    <dgm:pt modelId="{D47A4A2C-0B1B-41C8-9A4C-9FB5D934FCF8}" type="sibTrans" cxnId="{B9F3B7ED-D18E-464D-8D83-4D996928B2D5}">
      <dgm:prSet/>
      <dgm:spPr>
        <a:noFill/>
        <a:ln>
          <a:solidFill>
            <a:schemeClr val="tx1"/>
          </a:solidFill>
        </a:ln>
      </dgm:spPr>
      <dgm:t>
        <a:bodyPr/>
        <a:lstStyle/>
        <a:p>
          <a:endParaRPr lang="en-US"/>
        </a:p>
      </dgm:t>
    </dgm:pt>
    <dgm:pt modelId="{FC9F5E38-7A78-4F51-B9E4-A28AB6347A65}">
      <dgm:prSet phldrT="[Text]" custT="1">
        <dgm:style>
          <a:lnRef idx="2">
            <a:schemeClr val="dk1"/>
          </a:lnRef>
          <a:fillRef idx="1">
            <a:schemeClr val="lt1"/>
          </a:fillRef>
          <a:effectRef idx="0">
            <a:schemeClr val="dk1"/>
          </a:effectRef>
          <a:fontRef idx="minor">
            <a:schemeClr val="dk1"/>
          </a:fontRef>
        </dgm:style>
      </dgm:prSet>
      <dgm:spPr>
        <a:ln w="12700"/>
      </dgm:spPr>
      <dgm:t>
        <a:bodyPr/>
        <a:lstStyle/>
        <a:p>
          <a:r>
            <a:rPr lang="en-US" sz="900">
              <a:solidFill>
                <a:sysClr val="windowText" lastClr="000000"/>
              </a:solidFill>
            </a:rPr>
            <a:t>Appropriate selection of patients likely to benefit with improved function following total knee replacement procedure</a:t>
          </a:r>
        </a:p>
        <a:p>
          <a:r>
            <a:rPr lang="en-US" sz="900">
              <a:solidFill>
                <a:sysClr val="windowText" lastClr="000000"/>
              </a:solidFill>
            </a:rPr>
            <a:t>OKS pre-operative PRO Administration</a:t>
          </a:r>
          <a:endParaRPr lang="en-US" sz="900"/>
        </a:p>
      </dgm:t>
    </dgm:pt>
    <dgm:pt modelId="{0A8A4E2E-B72A-47B1-92FF-4915AD59F1F8}" type="parTrans" cxnId="{C854D42D-4FCA-4172-92EC-F9AABD8C22E0}">
      <dgm:prSet/>
      <dgm:spPr/>
      <dgm:t>
        <a:bodyPr/>
        <a:lstStyle/>
        <a:p>
          <a:endParaRPr lang="en-US"/>
        </a:p>
      </dgm:t>
    </dgm:pt>
    <dgm:pt modelId="{F8538E1B-31E8-40EC-B0B3-65A9E8826439}" type="sibTrans" cxnId="{C854D42D-4FCA-4172-92EC-F9AABD8C22E0}">
      <dgm:prSet/>
      <dgm:spPr>
        <a:noFill/>
        <a:ln>
          <a:solidFill>
            <a:schemeClr val="tx1"/>
          </a:solidFill>
        </a:ln>
      </dgm:spPr>
      <dgm:t>
        <a:bodyPr/>
        <a:lstStyle/>
        <a:p>
          <a:endParaRPr lang="en-US">
            <a:ln>
              <a:solidFill>
                <a:sysClr val="windowText" lastClr="000000"/>
              </a:solidFill>
            </a:ln>
          </a:endParaRPr>
        </a:p>
      </dgm:t>
    </dgm:pt>
    <dgm:pt modelId="{69D32939-BD55-4DBC-8A4D-6DB04F3E429A}">
      <dgm:prSet custT="1"/>
      <dgm:spPr>
        <a:noFill/>
        <a:ln w="12700">
          <a:solidFill>
            <a:schemeClr val="tx1"/>
          </a:solidFill>
        </a:ln>
      </dgm:spPr>
      <dgm:t>
        <a:bodyPr/>
        <a:lstStyle/>
        <a:p>
          <a:r>
            <a:rPr lang="en-US" sz="900">
              <a:solidFill>
                <a:sysClr val="windowText" lastClr="000000"/>
              </a:solidFill>
            </a:rPr>
            <a:t>Surgical technique/ post-operative rehabilitaiton and plan of care</a:t>
          </a:r>
        </a:p>
      </dgm:t>
    </dgm:pt>
    <dgm:pt modelId="{CFACA3E2-31FB-4EA6-9FBC-8F5B37FCB25A}" type="parTrans" cxnId="{707C7095-34E0-4981-881D-DF3FC42E1C9C}">
      <dgm:prSet/>
      <dgm:spPr/>
      <dgm:t>
        <a:bodyPr/>
        <a:lstStyle/>
        <a:p>
          <a:endParaRPr lang="en-US"/>
        </a:p>
      </dgm:t>
    </dgm:pt>
    <dgm:pt modelId="{A595FB97-D646-451B-A543-8778FED1A0BE}" type="sibTrans" cxnId="{707C7095-34E0-4981-881D-DF3FC42E1C9C}">
      <dgm:prSet/>
      <dgm:spPr>
        <a:noFill/>
        <a:ln>
          <a:solidFill>
            <a:schemeClr val="tx1"/>
          </a:solidFill>
        </a:ln>
      </dgm:spPr>
      <dgm:t>
        <a:bodyPr/>
        <a:lstStyle/>
        <a:p>
          <a:endParaRPr lang="en-US">
            <a:ln>
              <a:solidFill>
                <a:sysClr val="windowText" lastClr="000000"/>
              </a:solidFill>
            </a:ln>
          </a:endParaRPr>
        </a:p>
      </dgm:t>
    </dgm:pt>
    <dgm:pt modelId="{28B80F9C-9E78-4263-9BAA-0C532CFAE4CC}">
      <dgm:prSet phldrT="[Text]" custT="1">
        <dgm:style>
          <a:lnRef idx="2">
            <a:schemeClr val="dk1"/>
          </a:lnRef>
          <a:fillRef idx="1">
            <a:schemeClr val="lt1"/>
          </a:fillRef>
          <a:effectRef idx="0">
            <a:schemeClr val="dk1"/>
          </a:effectRef>
          <a:fontRef idx="minor">
            <a:schemeClr val="dk1"/>
          </a:fontRef>
        </dgm:style>
      </dgm:prSet>
      <dgm:spPr>
        <a:ln w="12700"/>
      </dgm:spPr>
      <dgm:t>
        <a:bodyPr/>
        <a:lstStyle/>
        <a:p>
          <a:pPr>
            <a:spcAft>
              <a:spcPts val="0"/>
            </a:spcAft>
          </a:pPr>
          <a:r>
            <a:rPr lang="en-US" sz="900">
              <a:latin typeface="Calibri" panose="020F0502020204030204" pitchFamily="34" charset="0"/>
            </a:rPr>
            <a:t>Post-operative assessment of functional status</a:t>
          </a:r>
        </a:p>
        <a:p>
          <a:pPr>
            <a:spcAft>
              <a:spcPts val="0"/>
            </a:spcAft>
          </a:pPr>
          <a:endParaRPr lang="en-US" sz="900">
            <a:solidFill>
              <a:sysClr val="windowText" lastClr="000000"/>
            </a:solidFill>
          </a:endParaRPr>
        </a:p>
        <a:p>
          <a:pPr>
            <a:spcAft>
              <a:spcPts val="0"/>
            </a:spcAft>
          </a:pPr>
          <a:r>
            <a:rPr lang="en-US" sz="900">
              <a:solidFill>
                <a:sysClr val="windowText" lastClr="000000"/>
              </a:solidFill>
            </a:rPr>
            <a:t>OKS postoperative</a:t>
          </a:r>
        </a:p>
        <a:p>
          <a:pPr>
            <a:spcAft>
              <a:spcPts val="0"/>
            </a:spcAft>
          </a:pPr>
          <a:r>
            <a:rPr lang="en-US" sz="900">
              <a:solidFill>
                <a:sysClr val="windowText" lastClr="000000"/>
              </a:solidFill>
            </a:rPr>
            <a:t>PRO Administration</a:t>
          </a:r>
          <a:endParaRPr lang="en-US" sz="900">
            <a:latin typeface="Calibri" panose="020F0502020204030204" pitchFamily="34" charset="0"/>
          </a:endParaRPr>
        </a:p>
      </dgm:t>
    </dgm:pt>
    <dgm:pt modelId="{42A5F344-FB87-4BBE-8643-8AA3545E707A}" type="parTrans" cxnId="{42FA4270-3F9A-4BFD-9ACD-3A97C2BB3E06}">
      <dgm:prSet/>
      <dgm:spPr/>
      <dgm:t>
        <a:bodyPr/>
        <a:lstStyle/>
        <a:p>
          <a:endParaRPr lang="en-US"/>
        </a:p>
      </dgm:t>
    </dgm:pt>
    <dgm:pt modelId="{35FDA0E1-FB41-426A-ABE6-D47AFDE84471}" type="sibTrans" cxnId="{42FA4270-3F9A-4BFD-9ACD-3A97C2BB3E06}">
      <dgm:prSet/>
      <dgm:spPr>
        <a:noFill/>
        <a:ln>
          <a:solidFill>
            <a:schemeClr val="tx1"/>
          </a:solidFill>
        </a:ln>
      </dgm:spPr>
      <dgm:t>
        <a:bodyPr/>
        <a:lstStyle/>
        <a:p>
          <a:endParaRPr lang="en-US"/>
        </a:p>
      </dgm:t>
    </dgm:pt>
    <dgm:pt modelId="{82D48E90-15E1-4549-80E3-A9D4F8286599}">
      <dgm:prSet phldrT="[Text]">
        <dgm:style>
          <a:lnRef idx="2">
            <a:schemeClr val="dk1"/>
          </a:lnRef>
          <a:fillRef idx="1">
            <a:schemeClr val="lt1"/>
          </a:fillRef>
          <a:effectRef idx="0">
            <a:schemeClr val="dk1"/>
          </a:effectRef>
          <a:fontRef idx="minor">
            <a:schemeClr val="dk1"/>
          </a:fontRef>
        </dgm:style>
      </dgm:prSet>
      <dgm:spPr>
        <a:ln w="12700"/>
      </dgm:spPr>
      <dgm:t>
        <a:bodyPr/>
        <a:lstStyle/>
        <a:p>
          <a:pPr>
            <a:lnSpc>
              <a:spcPct val="100000"/>
            </a:lnSpc>
            <a:spcAft>
              <a:spcPts val="0"/>
            </a:spcAft>
          </a:pPr>
          <a:r>
            <a:rPr lang="en-US">
              <a:latin typeface="Calibri" panose="020F0502020204030204" pitchFamily="34" charset="0"/>
            </a:rPr>
            <a:t>Orthopedic practices demonstrating </a:t>
          </a:r>
        </a:p>
        <a:p>
          <a:pPr>
            <a:lnSpc>
              <a:spcPct val="100000"/>
            </a:lnSpc>
            <a:spcAft>
              <a:spcPts val="0"/>
            </a:spcAft>
          </a:pPr>
          <a:r>
            <a:rPr lang="en-US">
              <a:latin typeface="Calibri" panose="020F0502020204030204" pitchFamily="34" charset="0"/>
            </a:rPr>
            <a:t>(on average)</a:t>
          </a:r>
        </a:p>
        <a:p>
          <a:pPr>
            <a:lnSpc>
              <a:spcPct val="100000"/>
            </a:lnSpc>
            <a:spcAft>
              <a:spcPts val="0"/>
            </a:spcAft>
          </a:pPr>
          <a:r>
            <a:rPr lang="en-US">
              <a:latin typeface="Calibri" panose="020F0502020204030204" pitchFamily="34" charset="0"/>
            </a:rPr>
            <a:t>improved functional status one year post-op </a:t>
          </a:r>
          <a:endParaRPr lang="en-US"/>
        </a:p>
      </dgm:t>
    </dgm:pt>
    <dgm:pt modelId="{9AA9AE15-E41F-4452-B299-F19A752BA2AF}" type="parTrans" cxnId="{FE466E60-D747-4B51-A247-D558ECA1CEC9}">
      <dgm:prSet/>
      <dgm:spPr/>
      <dgm:t>
        <a:bodyPr/>
        <a:lstStyle/>
        <a:p>
          <a:endParaRPr lang="en-US"/>
        </a:p>
      </dgm:t>
    </dgm:pt>
    <dgm:pt modelId="{7545C64E-1368-44C0-A28E-A2BFBB10F1CC}" type="sibTrans" cxnId="{FE466E60-D747-4B51-A247-D558ECA1CEC9}">
      <dgm:prSet/>
      <dgm:spPr/>
      <dgm:t>
        <a:bodyPr/>
        <a:lstStyle/>
        <a:p>
          <a:endParaRPr lang="en-US"/>
        </a:p>
      </dgm:t>
    </dgm:pt>
    <dgm:pt modelId="{017E705C-F9A0-4615-A926-DCBED648595F}" type="pres">
      <dgm:prSet presAssocID="{ED16274B-F142-45A7-8EA3-AE99F17C0BB6}" presName="Name0" presStyleCnt="0">
        <dgm:presLayoutVars>
          <dgm:dir/>
          <dgm:resizeHandles val="exact"/>
        </dgm:presLayoutVars>
      </dgm:prSet>
      <dgm:spPr/>
      <dgm:t>
        <a:bodyPr/>
        <a:lstStyle/>
        <a:p>
          <a:endParaRPr lang="en-US"/>
        </a:p>
      </dgm:t>
    </dgm:pt>
    <dgm:pt modelId="{5FF0205B-1149-40E6-AA27-77CA2F0822B7}" type="pres">
      <dgm:prSet presAssocID="{1391AA2B-97CE-4F89-90F3-477B92717B14}" presName="node" presStyleLbl="node1" presStyleIdx="0" presStyleCnt="5" custScaleX="144209" custScaleY="100905">
        <dgm:presLayoutVars>
          <dgm:bulletEnabled val="1"/>
        </dgm:presLayoutVars>
      </dgm:prSet>
      <dgm:spPr/>
      <dgm:t>
        <a:bodyPr/>
        <a:lstStyle/>
        <a:p>
          <a:endParaRPr lang="en-US"/>
        </a:p>
      </dgm:t>
    </dgm:pt>
    <dgm:pt modelId="{9E5FB81F-E62C-42B7-AF7D-F7AAE197F8D2}" type="pres">
      <dgm:prSet presAssocID="{D47A4A2C-0B1B-41C8-9A4C-9FB5D934FCF8}" presName="sibTrans" presStyleLbl="sibTrans2D1" presStyleIdx="0" presStyleCnt="4"/>
      <dgm:spPr/>
      <dgm:t>
        <a:bodyPr/>
        <a:lstStyle/>
        <a:p>
          <a:endParaRPr lang="en-US"/>
        </a:p>
      </dgm:t>
    </dgm:pt>
    <dgm:pt modelId="{66F6BB4E-5A35-4032-B90B-1D161B6BD4B6}" type="pres">
      <dgm:prSet presAssocID="{D47A4A2C-0B1B-41C8-9A4C-9FB5D934FCF8}" presName="connectorText" presStyleLbl="sibTrans2D1" presStyleIdx="0" presStyleCnt="4"/>
      <dgm:spPr/>
      <dgm:t>
        <a:bodyPr/>
        <a:lstStyle/>
        <a:p>
          <a:endParaRPr lang="en-US"/>
        </a:p>
      </dgm:t>
    </dgm:pt>
    <dgm:pt modelId="{F1C79FD0-5752-40BB-9A84-4ECD03456FD7}" type="pres">
      <dgm:prSet presAssocID="{FC9F5E38-7A78-4F51-B9E4-A28AB6347A65}" presName="node" presStyleLbl="node1" presStyleIdx="1" presStyleCnt="5" custScaleX="126387">
        <dgm:presLayoutVars>
          <dgm:bulletEnabled val="1"/>
        </dgm:presLayoutVars>
      </dgm:prSet>
      <dgm:spPr/>
      <dgm:t>
        <a:bodyPr/>
        <a:lstStyle/>
        <a:p>
          <a:endParaRPr lang="en-US"/>
        </a:p>
      </dgm:t>
    </dgm:pt>
    <dgm:pt modelId="{BFC9A279-8DAE-4771-9549-C8BA0E9BC852}" type="pres">
      <dgm:prSet presAssocID="{F8538E1B-31E8-40EC-B0B3-65A9E8826439}" presName="sibTrans" presStyleLbl="sibTrans2D1" presStyleIdx="1" presStyleCnt="4"/>
      <dgm:spPr/>
      <dgm:t>
        <a:bodyPr/>
        <a:lstStyle/>
        <a:p>
          <a:endParaRPr lang="en-US"/>
        </a:p>
      </dgm:t>
    </dgm:pt>
    <dgm:pt modelId="{45234C3E-A14E-4B60-92F8-4E6D2AA12024}" type="pres">
      <dgm:prSet presAssocID="{F8538E1B-31E8-40EC-B0B3-65A9E8826439}" presName="connectorText" presStyleLbl="sibTrans2D1" presStyleIdx="1" presStyleCnt="4"/>
      <dgm:spPr/>
      <dgm:t>
        <a:bodyPr/>
        <a:lstStyle/>
        <a:p>
          <a:endParaRPr lang="en-US"/>
        </a:p>
      </dgm:t>
    </dgm:pt>
    <dgm:pt modelId="{918C40CB-DFD3-45CF-87EF-F5AEBE6D53C6}" type="pres">
      <dgm:prSet presAssocID="{69D32939-BD55-4DBC-8A4D-6DB04F3E429A}" presName="node" presStyleLbl="node1" presStyleIdx="2" presStyleCnt="5" custScaleX="93358">
        <dgm:presLayoutVars>
          <dgm:bulletEnabled val="1"/>
        </dgm:presLayoutVars>
      </dgm:prSet>
      <dgm:spPr/>
      <dgm:t>
        <a:bodyPr/>
        <a:lstStyle/>
        <a:p>
          <a:endParaRPr lang="en-US"/>
        </a:p>
      </dgm:t>
    </dgm:pt>
    <dgm:pt modelId="{F01D2E66-78B7-4327-BA01-12CF7F3543B4}" type="pres">
      <dgm:prSet presAssocID="{A595FB97-D646-451B-A543-8778FED1A0BE}" presName="sibTrans" presStyleLbl="sibTrans2D1" presStyleIdx="2" presStyleCnt="4"/>
      <dgm:spPr/>
      <dgm:t>
        <a:bodyPr/>
        <a:lstStyle/>
        <a:p>
          <a:endParaRPr lang="en-US"/>
        </a:p>
      </dgm:t>
    </dgm:pt>
    <dgm:pt modelId="{8234C582-39D1-477C-92F4-943A8D01311F}" type="pres">
      <dgm:prSet presAssocID="{A595FB97-D646-451B-A543-8778FED1A0BE}" presName="connectorText" presStyleLbl="sibTrans2D1" presStyleIdx="2" presStyleCnt="4"/>
      <dgm:spPr/>
      <dgm:t>
        <a:bodyPr/>
        <a:lstStyle/>
        <a:p>
          <a:endParaRPr lang="en-US"/>
        </a:p>
      </dgm:t>
    </dgm:pt>
    <dgm:pt modelId="{832B6EE9-A8B0-4BF5-AA7F-B0460AD73DDA}" type="pres">
      <dgm:prSet presAssocID="{28B80F9C-9E78-4263-9BAA-0C532CFAE4CC}" presName="node" presStyleLbl="node1" presStyleIdx="3" presStyleCnt="5" custScaleX="109610" custLinFactNeighborX="849">
        <dgm:presLayoutVars>
          <dgm:bulletEnabled val="1"/>
        </dgm:presLayoutVars>
      </dgm:prSet>
      <dgm:spPr/>
      <dgm:t>
        <a:bodyPr/>
        <a:lstStyle/>
        <a:p>
          <a:endParaRPr lang="en-US"/>
        </a:p>
      </dgm:t>
    </dgm:pt>
    <dgm:pt modelId="{EA4D9362-C11E-4643-8848-A9D58B546EB7}" type="pres">
      <dgm:prSet presAssocID="{35FDA0E1-FB41-426A-ABE6-D47AFDE84471}" presName="sibTrans" presStyleLbl="sibTrans2D1" presStyleIdx="3" presStyleCnt="4"/>
      <dgm:spPr/>
      <dgm:t>
        <a:bodyPr/>
        <a:lstStyle/>
        <a:p>
          <a:endParaRPr lang="en-US"/>
        </a:p>
      </dgm:t>
    </dgm:pt>
    <dgm:pt modelId="{65EF17E2-7B9F-409D-8971-1FFD15668A17}" type="pres">
      <dgm:prSet presAssocID="{35FDA0E1-FB41-426A-ABE6-D47AFDE84471}" presName="connectorText" presStyleLbl="sibTrans2D1" presStyleIdx="3" presStyleCnt="4"/>
      <dgm:spPr/>
      <dgm:t>
        <a:bodyPr/>
        <a:lstStyle/>
        <a:p>
          <a:endParaRPr lang="en-US"/>
        </a:p>
      </dgm:t>
    </dgm:pt>
    <dgm:pt modelId="{053B946A-AA91-444E-B215-5E79C5C31354}" type="pres">
      <dgm:prSet presAssocID="{82D48E90-15E1-4549-80E3-A9D4F8286599}" presName="node" presStyleLbl="node1" presStyleIdx="4" presStyleCnt="5" custScaleX="99272">
        <dgm:presLayoutVars>
          <dgm:bulletEnabled val="1"/>
        </dgm:presLayoutVars>
      </dgm:prSet>
      <dgm:spPr/>
      <dgm:t>
        <a:bodyPr/>
        <a:lstStyle/>
        <a:p>
          <a:endParaRPr lang="en-US"/>
        </a:p>
      </dgm:t>
    </dgm:pt>
  </dgm:ptLst>
  <dgm:cxnLst>
    <dgm:cxn modelId="{D4B999B2-BD53-401F-A01A-F0EDE4759422}" type="presOf" srcId="{35FDA0E1-FB41-426A-ABE6-D47AFDE84471}" destId="{EA4D9362-C11E-4643-8848-A9D58B546EB7}" srcOrd="0" destOrd="0" presId="urn:microsoft.com/office/officeart/2005/8/layout/process1"/>
    <dgm:cxn modelId="{84E0D44B-EB25-408C-ACD6-C861BCF1742E}" type="presOf" srcId="{ED16274B-F142-45A7-8EA3-AE99F17C0BB6}" destId="{017E705C-F9A0-4615-A926-DCBED648595F}" srcOrd="0" destOrd="0" presId="urn:microsoft.com/office/officeart/2005/8/layout/process1"/>
    <dgm:cxn modelId="{BC806C92-6FF1-4E3D-A77C-5DB029A818D7}" type="presOf" srcId="{69D32939-BD55-4DBC-8A4D-6DB04F3E429A}" destId="{918C40CB-DFD3-45CF-87EF-F5AEBE6D53C6}" srcOrd="0" destOrd="0" presId="urn:microsoft.com/office/officeart/2005/8/layout/process1"/>
    <dgm:cxn modelId="{B9F3B7ED-D18E-464D-8D83-4D996928B2D5}" srcId="{ED16274B-F142-45A7-8EA3-AE99F17C0BB6}" destId="{1391AA2B-97CE-4F89-90F3-477B92717B14}" srcOrd="0" destOrd="0" parTransId="{A6EC5C53-BCDD-4FC2-88E9-0E86C5D8BC77}" sibTransId="{D47A4A2C-0B1B-41C8-9A4C-9FB5D934FCF8}"/>
    <dgm:cxn modelId="{42FA4270-3F9A-4BFD-9ACD-3A97C2BB3E06}" srcId="{ED16274B-F142-45A7-8EA3-AE99F17C0BB6}" destId="{28B80F9C-9E78-4263-9BAA-0C532CFAE4CC}" srcOrd="3" destOrd="0" parTransId="{42A5F344-FB87-4BBE-8643-8AA3545E707A}" sibTransId="{35FDA0E1-FB41-426A-ABE6-D47AFDE84471}"/>
    <dgm:cxn modelId="{E720376B-A25B-474C-B720-0DA5011D0C83}" type="presOf" srcId="{82D48E90-15E1-4549-80E3-A9D4F8286599}" destId="{053B946A-AA91-444E-B215-5E79C5C31354}" srcOrd="0" destOrd="0" presId="urn:microsoft.com/office/officeart/2005/8/layout/process1"/>
    <dgm:cxn modelId="{C854D42D-4FCA-4172-92EC-F9AABD8C22E0}" srcId="{ED16274B-F142-45A7-8EA3-AE99F17C0BB6}" destId="{FC9F5E38-7A78-4F51-B9E4-A28AB6347A65}" srcOrd="1" destOrd="0" parTransId="{0A8A4E2E-B72A-47B1-92FF-4915AD59F1F8}" sibTransId="{F8538E1B-31E8-40EC-B0B3-65A9E8826439}"/>
    <dgm:cxn modelId="{70A466BA-63ED-4A91-81A4-93DD03F5CAD1}" type="presOf" srcId="{A595FB97-D646-451B-A543-8778FED1A0BE}" destId="{F01D2E66-78B7-4327-BA01-12CF7F3543B4}" srcOrd="0" destOrd="0" presId="urn:microsoft.com/office/officeart/2005/8/layout/process1"/>
    <dgm:cxn modelId="{C049AD02-4D7E-4BBB-BFCD-A571602B1276}" type="presOf" srcId="{35FDA0E1-FB41-426A-ABE6-D47AFDE84471}" destId="{65EF17E2-7B9F-409D-8971-1FFD15668A17}" srcOrd="1" destOrd="0" presId="urn:microsoft.com/office/officeart/2005/8/layout/process1"/>
    <dgm:cxn modelId="{57A2D805-D9BB-44C3-A0F9-9E02184D1082}" type="presOf" srcId="{D47A4A2C-0B1B-41C8-9A4C-9FB5D934FCF8}" destId="{9E5FB81F-E62C-42B7-AF7D-F7AAE197F8D2}" srcOrd="0" destOrd="0" presId="urn:microsoft.com/office/officeart/2005/8/layout/process1"/>
    <dgm:cxn modelId="{10EC9329-FC79-4C99-9FB2-3BF0367CA359}" type="presOf" srcId="{D47A4A2C-0B1B-41C8-9A4C-9FB5D934FCF8}" destId="{66F6BB4E-5A35-4032-B90B-1D161B6BD4B6}" srcOrd="1" destOrd="0" presId="urn:microsoft.com/office/officeart/2005/8/layout/process1"/>
    <dgm:cxn modelId="{FE466E60-D747-4B51-A247-D558ECA1CEC9}" srcId="{ED16274B-F142-45A7-8EA3-AE99F17C0BB6}" destId="{82D48E90-15E1-4549-80E3-A9D4F8286599}" srcOrd="4" destOrd="0" parTransId="{9AA9AE15-E41F-4452-B299-F19A752BA2AF}" sibTransId="{7545C64E-1368-44C0-A28E-A2BFBB10F1CC}"/>
    <dgm:cxn modelId="{62BA78F0-03D6-4789-BF83-3BF2A47B1598}" type="presOf" srcId="{1391AA2B-97CE-4F89-90F3-477B92717B14}" destId="{5FF0205B-1149-40E6-AA27-77CA2F0822B7}" srcOrd="0" destOrd="0" presId="urn:microsoft.com/office/officeart/2005/8/layout/process1"/>
    <dgm:cxn modelId="{9371C508-75BC-432C-B92D-2842CC94A703}" type="presOf" srcId="{28B80F9C-9E78-4263-9BAA-0C532CFAE4CC}" destId="{832B6EE9-A8B0-4BF5-AA7F-B0460AD73DDA}" srcOrd="0" destOrd="0" presId="urn:microsoft.com/office/officeart/2005/8/layout/process1"/>
    <dgm:cxn modelId="{EB7EC7D6-AE87-45B5-A0A3-18BD198AF765}" type="presOf" srcId="{F8538E1B-31E8-40EC-B0B3-65A9E8826439}" destId="{BFC9A279-8DAE-4771-9549-C8BA0E9BC852}" srcOrd="0" destOrd="0" presId="urn:microsoft.com/office/officeart/2005/8/layout/process1"/>
    <dgm:cxn modelId="{31ABB213-5868-46BA-B1AA-13F37F894F07}" type="presOf" srcId="{F8538E1B-31E8-40EC-B0B3-65A9E8826439}" destId="{45234C3E-A14E-4B60-92F8-4E6D2AA12024}" srcOrd="1" destOrd="0" presId="urn:microsoft.com/office/officeart/2005/8/layout/process1"/>
    <dgm:cxn modelId="{E7CC4D14-76D6-4EA5-A645-71833AF09FF6}" type="presOf" srcId="{A595FB97-D646-451B-A543-8778FED1A0BE}" destId="{8234C582-39D1-477C-92F4-943A8D01311F}" srcOrd="1" destOrd="0" presId="urn:microsoft.com/office/officeart/2005/8/layout/process1"/>
    <dgm:cxn modelId="{9A958AF8-BE9C-4EFB-A9C9-9090AF037484}" type="presOf" srcId="{FC9F5E38-7A78-4F51-B9E4-A28AB6347A65}" destId="{F1C79FD0-5752-40BB-9A84-4ECD03456FD7}" srcOrd="0" destOrd="0" presId="urn:microsoft.com/office/officeart/2005/8/layout/process1"/>
    <dgm:cxn modelId="{707C7095-34E0-4981-881D-DF3FC42E1C9C}" srcId="{ED16274B-F142-45A7-8EA3-AE99F17C0BB6}" destId="{69D32939-BD55-4DBC-8A4D-6DB04F3E429A}" srcOrd="2" destOrd="0" parTransId="{CFACA3E2-31FB-4EA6-9FBC-8F5B37FCB25A}" sibTransId="{A595FB97-D646-451B-A543-8778FED1A0BE}"/>
    <dgm:cxn modelId="{EA624F99-43D8-481E-9FE9-C1FC938C2707}" type="presParOf" srcId="{017E705C-F9A0-4615-A926-DCBED648595F}" destId="{5FF0205B-1149-40E6-AA27-77CA2F0822B7}" srcOrd="0" destOrd="0" presId="urn:microsoft.com/office/officeart/2005/8/layout/process1"/>
    <dgm:cxn modelId="{6D55211B-EFE6-47CD-96D8-7375CB5128D1}" type="presParOf" srcId="{017E705C-F9A0-4615-A926-DCBED648595F}" destId="{9E5FB81F-E62C-42B7-AF7D-F7AAE197F8D2}" srcOrd="1" destOrd="0" presId="urn:microsoft.com/office/officeart/2005/8/layout/process1"/>
    <dgm:cxn modelId="{FEA24498-2700-4AEA-97C6-B9F844791105}" type="presParOf" srcId="{9E5FB81F-E62C-42B7-AF7D-F7AAE197F8D2}" destId="{66F6BB4E-5A35-4032-B90B-1D161B6BD4B6}" srcOrd="0" destOrd="0" presId="urn:microsoft.com/office/officeart/2005/8/layout/process1"/>
    <dgm:cxn modelId="{0A0E7D7D-CEEF-4E06-AD37-535D244B9217}" type="presParOf" srcId="{017E705C-F9A0-4615-A926-DCBED648595F}" destId="{F1C79FD0-5752-40BB-9A84-4ECD03456FD7}" srcOrd="2" destOrd="0" presId="urn:microsoft.com/office/officeart/2005/8/layout/process1"/>
    <dgm:cxn modelId="{2133FFAF-A2C0-4C80-9CB8-0F463F118371}" type="presParOf" srcId="{017E705C-F9A0-4615-A926-DCBED648595F}" destId="{BFC9A279-8DAE-4771-9549-C8BA0E9BC852}" srcOrd="3" destOrd="0" presId="urn:microsoft.com/office/officeart/2005/8/layout/process1"/>
    <dgm:cxn modelId="{F3C98B4A-3341-4AC2-8060-7A75268CB15A}" type="presParOf" srcId="{BFC9A279-8DAE-4771-9549-C8BA0E9BC852}" destId="{45234C3E-A14E-4B60-92F8-4E6D2AA12024}" srcOrd="0" destOrd="0" presId="urn:microsoft.com/office/officeart/2005/8/layout/process1"/>
    <dgm:cxn modelId="{993CB680-16E8-4D47-802D-B8B80AB76EDF}" type="presParOf" srcId="{017E705C-F9A0-4615-A926-DCBED648595F}" destId="{918C40CB-DFD3-45CF-87EF-F5AEBE6D53C6}" srcOrd="4" destOrd="0" presId="urn:microsoft.com/office/officeart/2005/8/layout/process1"/>
    <dgm:cxn modelId="{15E5B5A9-A788-41ED-A613-47097F9C4281}" type="presParOf" srcId="{017E705C-F9A0-4615-A926-DCBED648595F}" destId="{F01D2E66-78B7-4327-BA01-12CF7F3543B4}" srcOrd="5" destOrd="0" presId="urn:microsoft.com/office/officeart/2005/8/layout/process1"/>
    <dgm:cxn modelId="{92370DC4-C73C-483D-A227-52453273253F}" type="presParOf" srcId="{F01D2E66-78B7-4327-BA01-12CF7F3543B4}" destId="{8234C582-39D1-477C-92F4-943A8D01311F}" srcOrd="0" destOrd="0" presId="urn:microsoft.com/office/officeart/2005/8/layout/process1"/>
    <dgm:cxn modelId="{96FDF6D3-3D3E-47AA-BEBB-0422C6CE6B85}" type="presParOf" srcId="{017E705C-F9A0-4615-A926-DCBED648595F}" destId="{832B6EE9-A8B0-4BF5-AA7F-B0460AD73DDA}" srcOrd="6" destOrd="0" presId="urn:microsoft.com/office/officeart/2005/8/layout/process1"/>
    <dgm:cxn modelId="{D64183DC-DD83-4172-8450-57283F93A220}" type="presParOf" srcId="{017E705C-F9A0-4615-A926-DCBED648595F}" destId="{EA4D9362-C11E-4643-8848-A9D58B546EB7}" srcOrd="7" destOrd="0" presId="urn:microsoft.com/office/officeart/2005/8/layout/process1"/>
    <dgm:cxn modelId="{0CF11C05-33C6-48DB-A1E1-C7DD2BD7C8D1}" type="presParOf" srcId="{EA4D9362-C11E-4643-8848-A9D58B546EB7}" destId="{65EF17E2-7B9F-409D-8971-1FFD15668A17}" srcOrd="0" destOrd="0" presId="urn:microsoft.com/office/officeart/2005/8/layout/process1"/>
    <dgm:cxn modelId="{E93A5DE2-57CC-4833-82FB-C8A2E049222F}" type="presParOf" srcId="{017E705C-F9A0-4615-A926-DCBED648595F}" destId="{053B946A-AA91-444E-B215-5E79C5C31354}" srcOrd="8"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F0205B-1149-40E6-AA27-77CA2F0822B7}">
      <dsp:nvSpPr>
        <dsp:cNvPr id="0" name=""/>
        <dsp:cNvSpPr/>
      </dsp:nvSpPr>
      <dsp:spPr>
        <a:xfrm>
          <a:off x="7812" y="65927"/>
          <a:ext cx="1166519" cy="1590899"/>
        </a:xfrm>
        <a:prstGeom prst="roundRect">
          <a:avLst>
            <a:gd name="adj" fmla="val 10000"/>
          </a:avLst>
        </a:prstGeom>
        <a:noFill/>
        <a:ln w="127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latin typeface="Calibri" panose="020F0502020204030204" pitchFamily="34" charset="0"/>
            </a:rPr>
            <a:t>Assessment of current impact of knee pain on patient's functional status.  Diagnosis of reasons and providing conservative therapy.</a:t>
          </a:r>
        </a:p>
        <a:p>
          <a:pPr lvl="0" algn="ctr" defTabSz="400050">
            <a:lnSpc>
              <a:spcPct val="100000"/>
            </a:lnSpc>
            <a:spcBef>
              <a:spcPct val="0"/>
            </a:spcBef>
            <a:spcAft>
              <a:spcPts val="0"/>
            </a:spcAft>
          </a:pPr>
          <a:r>
            <a:rPr lang="en-US" sz="900" kern="1200">
              <a:solidFill>
                <a:sysClr val="windowText" lastClr="000000"/>
              </a:solidFill>
              <a:latin typeface="Calibri" panose="020F0502020204030204" pitchFamily="34" charset="0"/>
            </a:rPr>
            <a:t>Oxford Knee (OKS) </a:t>
          </a:r>
        </a:p>
        <a:p>
          <a:pPr lvl="0" algn="ctr" defTabSz="400050">
            <a:lnSpc>
              <a:spcPct val="100000"/>
            </a:lnSpc>
            <a:spcBef>
              <a:spcPct val="0"/>
            </a:spcBef>
            <a:spcAft>
              <a:spcPts val="0"/>
            </a:spcAft>
          </a:pPr>
          <a:r>
            <a:rPr lang="en-US" sz="900" kern="1200">
              <a:solidFill>
                <a:sysClr val="windowText" lastClr="000000"/>
              </a:solidFill>
              <a:latin typeface="Calibri" panose="020F0502020204030204" pitchFamily="34" charset="0"/>
            </a:rPr>
            <a:t>PRO Administration</a:t>
          </a:r>
        </a:p>
      </dsp:txBody>
      <dsp:txXfrm>
        <a:off x="41978" y="100093"/>
        <a:ext cx="1098187" cy="1522567"/>
      </dsp:txXfrm>
    </dsp:sp>
    <dsp:sp modelId="{9E5FB81F-E62C-42B7-AF7D-F7AAE197F8D2}">
      <dsp:nvSpPr>
        <dsp:cNvPr id="0" name=""/>
        <dsp:cNvSpPr/>
      </dsp:nvSpPr>
      <dsp:spPr>
        <a:xfrm>
          <a:off x="1255222" y="761072"/>
          <a:ext cx="171488" cy="200609"/>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a:off x="1255222" y="801194"/>
        <a:ext cx="120042" cy="120365"/>
      </dsp:txXfrm>
    </dsp:sp>
    <dsp:sp modelId="{F1C79FD0-5752-40BB-9A84-4ECD03456FD7}">
      <dsp:nvSpPr>
        <dsp:cNvPr id="0" name=""/>
        <dsp:cNvSpPr/>
      </dsp:nvSpPr>
      <dsp:spPr>
        <a:xfrm>
          <a:off x="1497895" y="73061"/>
          <a:ext cx="1022355" cy="1576631"/>
        </a:xfrm>
        <a:prstGeom prst="roundRect">
          <a:avLst>
            <a:gd name="adj" fmla="val 10000"/>
          </a:avLst>
        </a:prstGeom>
        <a:solidFill>
          <a:schemeClr val="lt1"/>
        </a:solidFill>
        <a:ln w="127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Appropriate selection of patients likely to benefit with improved function following total knee replacement procedure</a:t>
          </a:r>
        </a:p>
        <a:p>
          <a:pPr lvl="0" algn="ctr" defTabSz="400050">
            <a:lnSpc>
              <a:spcPct val="90000"/>
            </a:lnSpc>
            <a:spcBef>
              <a:spcPct val="0"/>
            </a:spcBef>
            <a:spcAft>
              <a:spcPct val="35000"/>
            </a:spcAft>
          </a:pPr>
          <a:r>
            <a:rPr lang="en-US" sz="900" kern="1200">
              <a:solidFill>
                <a:sysClr val="windowText" lastClr="000000"/>
              </a:solidFill>
            </a:rPr>
            <a:t>OKS pre-operative PRO Administration</a:t>
          </a:r>
          <a:endParaRPr lang="en-US" sz="900" kern="1200"/>
        </a:p>
      </dsp:txBody>
      <dsp:txXfrm>
        <a:off x="1527839" y="103005"/>
        <a:ext cx="962467" cy="1516743"/>
      </dsp:txXfrm>
    </dsp:sp>
    <dsp:sp modelId="{BFC9A279-8DAE-4771-9549-C8BA0E9BC852}">
      <dsp:nvSpPr>
        <dsp:cNvPr id="0" name=""/>
        <dsp:cNvSpPr/>
      </dsp:nvSpPr>
      <dsp:spPr>
        <a:xfrm>
          <a:off x="2601141" y="761072"/>
          <a:ext cx="171488" cy="200609"/>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ln>
              <a:solidFill>
                <a:sysClr val="windowText" lastClr="000000"/>
              </a:solidFill>
            </a:ln>
          </a:endParaRPr>
        </a:p>
      </dsp:txBody>
      <dsp:txXfrm>
        <a:off x="2601141" y="801194"/>
        <a:ext cx="120042" cy="120365"/>
      </dsp:txXfrm>
    </dsp:sp>
    <dsp:sp modelId="{918C40CB-DFD3-45CF-87EF-F5AEBE6D53C6}">
      <dsp:nvSpPr>
        <dsp:cNvPr id="0" name=""/>
        <dsp:cNvSpPr/>
      </dsp:nvSpPr>
      <dsp:spPr>
        <a:xfrm>
          <a:off x="2843814" y="73061"/>
          <a:ext cx="755180" cy="1576631"/>
        </a:xfrm>
        <a:prstGeom prst="roundRect">
          <a:avLst>
            <a:gd name="adj" fmla="val 10000"/>
          </a:avLst>
        </a:prstGeom>
        <a:noFill/>
        <a:ln w="127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Surgical technique/ post-operative rehabilitaiton and plan of care</a:t>
          </a:r>
        </a:p>
      </dsp:txBody>
      <dsp:txXfrm>
        <a:off x="2865932" y="95179"/>
        <a:ext cx="710944" cy="1532395"/>
      </dsp:txXfrm>
    </dsp:sp>
    <dsp:sp modelId="{F01D2E66-78B7-4327-BA01-12CF7F3543B4}">
      <dsp:nvSpPr>
        <dsp:cNvPr id="0" name=""/>
        <dsp:cNvSpPr/>
      </dsp:nvSpPr>
      <dsp:spPr>
        <a:xfrm>
          <a:off x="3680573" y="761072"/>
          <a:ext cx="172944" cy="200609"/>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ln>
              <a:solidFill>
                <a:sysClr val="windowText" lastClr="000000"/>
              </a:solidFill>
            </a:ln>
          </a:endParaRPr>
        </a:p>
      </dsp:txBody>
      <dsp:txXfrm>
        <a:off x="3680573" y="801194"/>
        <a:ext cx="121061" cy="120365"/>
      </dsp:txXfrm>
    </dsp:sp>
    <dsp:sp modelId="{832B6EE9-A8B0-4BF5-AA7F-B0460AD73DDA}">
      <dsp:nvSpPr>
        <dsp:cNvPr id="0" name=""/>
        <dsp:cNvSpPr/>
      </dsp:nvSpPr>
      <dsp:spPr>
        <a:xfrm>
          <a:off x="3925305" y="73061"/>
          <a:ext cx="886644" cy="1576631"/>
        </a:xfrm>
        <a:prstGeom prst="roundRect">
          <a:avLst>
            <a:gd name="adj" fmla="val 10000"/>
          </a:avLst>
        </a:prstGeom>
        <a:solidFill>
          <a:schemeClr val="lt1"/>
        </a:solidFill>
        <a:ln w="127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ts val="0"/>
            </a:spcAft>
          </a:pPr>
          <a:r>
            <a:rPr lang="en-US" sz="900" kern="1200">
              <a:latin typeface="Calibri" panose="020F0502020204030204" pitchFamily="34" charset="0"/>
            </a:rPr>
            <a:t>Post-operative assessment of functional status</a:t>
          </a:r>
        </a:p>
        <a:p>
          <a:pPr lvl="0" algn="ctr" defTabSz="400050">
            <a:lnSpc>
              <a:spcPct val="90000"/>
            </a:lnSpc>
            <a:spcBef>
              <a:spcPct val="0"/>
            </a:spcBef>
            <a:spcAft>
              <a:spcPts val="0"/>
            </a:spcAft>
          </a:pPr>
          <a:endParaRPr lang="en-US" sz="900" kern="1200">
            <a:solidFill>
              <a:sysClr val="windowText" lastClr="000000"/>
            </a:solidFill>
          </a:endParaRPr>
        </a:p>
        <a:p>
          <a:pPr lvl="0" algn="ctr" defTabSz="400050">
            <a:lnSpc>
              <a:spcPct val="90000"/>
            </a:lnSpc>
            <a:spcBef>
              <a:spcPct val="0"/>
            </a:spcBef>
            <a:spcAft>
              <a:spcPts val="0"/>
            </a:spcAft>
          </a:pPr>
          <a:r>
            <a:rPr lang="en-US" sz="900" kern="1200">
              <a:solidFill>
                <a:sysClr val="windowText" lastClr="000000"/>
              </a:solidFill>
            </a:rPr>
            <a:t>OKS postoperative</a:t>
          </a:r>
        </a:p>
        <a:p>
          <a:pPr lvl="0" algn="ctr" defTabSz="400050">
            <a:lnSpc>
              <a:spcPct val="90000"/>
            </a:lnSpc>
            <a:spcBef>
              <a:spcPct val="0"/>
            </a:spcBef>
            <a:spcAft>
              <a:spcPts val="0"/>
            </a:spcAft>
          </a:pPr>
          <a:r>
            <a:rPr lang="en-US" sz="900" kern="1200">
              <a:solidFill>
                <a:sysClr val="windowText" lastClr="000000"/>
              </a:solidFill>
            </a:rPr>
            <a:t>PRO Administration</a:t>
          </a:r>
          <a:endParaRPr lang="en-US" sz="900" kern="1200">
            <a:latin typeface="Calibri" panose="020F0502020204030204" pitchFamily="34" charset="0"/>
          </a:endParaRPr>
        </a:p>
      </dsp:txBody>
      <dsp:txXfrm>
        <a:off x="3951274" y="99030"/>
        <a:ext cx="834706" cy="1524693"/>
      </dsp:txXfrm>
    </dsp:sp>
    <dsp:sp modelId="{EA4D9362-C11E-4643-8848-A9D58B546EB7}">
      <dsp:nvSpPr>
        <dsp:cNvPr id="0" name=""/>
        <dsp:cNvSpPr/>
      </dsp:nvSpPr>
      <dsp:spPr>
        <a:xfrm>
          <a:off x="4892154" y="761072"/>
          <a:ext cx="170032" cy="200609"/>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a:off x="4892154" y="801194"/>
        <a:ext cx="119022" cy="120365"/>
      </dsp:txXfrm>
    </dsp:sp>
    <dsp:sp modelId="{053B946A-AA91-444E-B215-5E79C5C31354}">
      <dsp:nvSpPr>
        <dsp:cNvPr id="0" name=""/>
        <dsp:cNvSpPr/>
      </dsp:nvSpPr>
      <dsp:spPr>
        <a:xfrm>
          <a:off x="5132767" y="73061"/>
          <a:ext cx="803019" cy="1576631"/>
        </a:xfrm>
        <a:prstGeom prst="roundRect">
          <a:avLst>
            <a:gd name="adj" fmla="val 10000"/>
          </a:avLst>
        </a:prstGeom>
        <a:solidFill>
          <a:schemeClr val="lt1"/>
        </a:solidFill>
        <a:ln w="127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100000"/>
            </a:lnSpc>
            <a:spcBef>
              <a:spcPct val="0"/>
            </a:spcBef>
            <a:spcAft>
              <a:spcPts val="0"/>
            </a:spcAft>
          </a:pPr>
          <a:r>
            <a:rPr lang="en-US" sz="900" kern="1200">
              <a:latin typeface="Calibri" panose="020F0502020204030204" pitchFamily="34" charset="0"/>
            </a:rPr>
            <a:t>Orthopedic practices demonstrating </a:t>
          </a:r>
        </a:p>
        <a:p>
          <a:pPr lvl="0" algn="ctr" defTabSz="400050">
            <a:lnSpc>
              <a:spcPct val="100000"/>
            </a:lnSpc>
            <a:spcBef>
              <a:spcPct val="0"/>
            </a:spcBef>
            <a:spcAft>
              <a:spcPts val="0"/>
            </a:spcAft>
          </a:pPr>
          <a:r>
            <a:rPr lang="en-US" sz="900" kern="1200">
              <a:latin typeface="Calibri" panose="020F0502020204030204" pitchFamily="34" charset="0"/>
            </a:rPr>
            <a:t>(on average)</a:t>
          </a:r>
        </a:p>
        <a:p>
          <a:pPr lvl="0" algn="ctr" defTabSz="400050">
            <a:lnSpc>
              <a:spcPct val="100000"/>
            </a:lnSpc>
            <a:spcBef>
              <a:spcPct val="0"/>
            </a:spcBef>
            <a:spcAft>
              <a:spcPts val="0"/>
            </a:spcAft>
          </a:pPr>
          <a:r>
            <a:rPr lang="en-US" sz="900" kern="1200">
              <a:latin typeface="Calibri" panose="020F0502020204030204" pitchFamily="34" charset="0"/>
            </a:rPr>
            <a:t>improved functional status one year post-op </a:t>
          </a:r>
          <a:endParaRPr lang="en-US" sz="900" kern="1200"/>
        </a:p>
      </dsp:txBody>
      <dsp:txXfrm>
        <a:off x="5156287" y="96581"/>
        <a:ext cx="755979" cy="152959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ED18E3"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ED18E3"/>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E5775-32E9-4898-B030-2A42EB06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Collette Pitzen</cp:lastModifiedBy>
  <cp:revision>8</cp:revision>
  <dcterms:created xsi:type="dcterms:W3CDTF">2014-10-29T22:05:00Z</dcterms:created>
  <dcterms:modified xsi:type="dcterms:W3CDTF">2014-10-29T23:10:00Z</dcterms:modified>
</cp:coreProperties>
</file>